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EA73D2">
        <w:rPr>
          <w:sz w:val="22"/>
          <w:szCs w:val="22"/>
        </w:rPr>
        <w:t>4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</w:t>
            </w:r>
            <w:proofErr w:type="gramEnd"/>
            <w:r w:rsidR="00B41B30" w:rsidRPr="00B41B30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Sídlo:   </w:t>
            </w:r>
            <w:proofErr w:type="gramEnd"/>
            <w:r w:rsidRPr="00B41B30">
              <w:rPr>
                <w:rFonts w:cs="Calibri"/>
              </w:rPr>
              <w:t xml:space="preserve">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IČ:   </w:t>
            </w:r>
            <w:proofErr w:type="gramEnd"/>
            <w:r w:rsidRPr="00B41B30">
              <w:rPr>
                <w:rFonts w:cs="Calibri"/>
              </w:rPr>
              <w:t xml:space="preserve">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proofErr w:type="gramStart"/>
            <w:r w:rsidRPr="00B41B30">
              <w:rPr>
                <w:rFonts w:cs="Calibri"/>
              </w:rPr>
              <w:t xml:space="preserve">DIČ:   </w:t>
            </w:r>
            <w:proofErr w:type="gramEnd"/>
            <w:r w:rsidRPr="00B41B30">
              <w:rPr>
                <w:rFonts w:cs="Calibri"/>
              </w:rPr>
              <w:t xml:space="preserve">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775B" w:rsidRDefault="00DE775B" w:rsidP="00A26F74">
      <w:pPr>
        <w:spacing w:after="0" w:line="240" w:lineRule="auto"/>
      </w:pPr>
      <w:r>
        <w:separator/>
      </w:r>
    </w:p>
  </w:endnote>
  <w:endnote w:type="continuationSeparator" w:id="0">
    <w:p w:rsidR="00DE775B" w:rsidRDefault="00DE775B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:rsidR="00575D2C" w:rsidRDefault="00575D2C" w:rsidP="00575D2C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597C09">
          <w:rPr>
            <w:sz w:val="20"/>
            <w:szCs w:val="20"/>
          </w:rPr>
          <w:t>Zobrazovací techniky UZ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:rsidR="00575D2C" w:rsidRDefault="00575D2C" w:rsidP="00575D2C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41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:rsidR="00575D2C" w:rsidRDefault="00575D2C" w:rsidP="00575D2C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Název projektu: </w:t>
        </w:r>
        <w:r w:rsidR="003F3D0E">
          <w:rPr>
            <w:sz w:val="20"/>
            <w:szCs w:val="20"/>
          </w:rPr>
          <w:t>„</w:t>
        </w:r>
        <w:r>
          <w:rPr>
            <w:sz w:val="20"/>
            <w:szCs w:val="20"/>
          </w:rPr>
          <w:t>Modernizace přístrojů a vybavení operačních sálů</w:t>
        </w:r>
        <w:r w:rsidR="003F3D0E">
          <w:rPr>
            <w:sz w:val="20"/>
            <w:szCs w:val="20"/>
          </w:rPr>
          <w:t>“</w:t>
        </w:r>
      </w:p>
      <w:p w:rsidR="00575D2C" w:rsidRDefault="00575D2C" w:rsidP="00575D2C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781CE0">
          <w:rPr>
            <w:sz w:val="20"/>
            <w:szCs w:val="20"/>
          </w:rPr>
          <w:t>CZ.06.2.56/0.0/0.0/16_043/0001549</w:t>
        </w:r>
      </w:p>
      <w:p w:rsidR="003A056D" w:rsidRDefault="00575D2C" w:rsidP="00575D2C">
        <w:pPr>
          <w:pStyle w:val="Zpat"/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775B" w:rsidRDefault="00DE775B" w:rsidP="00A26F74">
      <w:pPr>
        <w:spacing w:after="0" w:line="240" w:lineRule="auto"/>
      </w:pPr>
      <w:r>
        <w:separator/>
      </w:r>
    </w:p>
  </w:footnote>
  <w:footnote w:type="continuationSeparator" w:id="0">
    <w:p w:rsidR="00DE775B" w:rsidRDefault="00DE775B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E24CA"/>
    <w:rsid w:val="003A056D"/>
    <w:rsid w:val="003A3329"/>
    <w:rsid w:val="003E5E6D"/>
    <w:rsid w:val="003F3D0E"/>
    <w:rsid w:val="004064AC"/>
    <w:rsid w:val="004C71DA"/>
    <w:rsid w:val="00575D2C"/>
    <w:rsid w:val="00660364"/>
    <w:rsid w:val="006E56C5"/>
    <w:rsid w:val="00756C25"/>
    <w:rsid w:val="00843BE9"/>
    <w:rsid w:val="00A26F74"/>
    <w:rsid w:val="00A77CAF"/>
    <w:rsid w:val="00B00C6A"/>
    <w:rsid w:val="00B0421D"/>
    <w:rsid w:val="00B41B30"/>
    <w:rsid w:val="00BC45D4"/>
    <w:rsid w:val="00BF7C1A"/>
    <w:rsid w:val="00C2041E"/>
    <w:rsid w:val="00DA75BF"/>
    <w:rsid w:val="00DE775B"/>
    <w:rsid w:val="00E83895"/>
    <w:rsid w:val="00EA2DB4"/>
    <w:rsid w:val="00EA73D2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350E38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12</cp:revision>
  <dcterms:created xsi:type="dcterms:W3CDTF">2018-03-28T19:56:00Z</dcterms:created>
  <dcterms:modified xsi:type="dcterms:W3CDTF">2020-07-13T15:20:00Z</dcterms:modified>
</cp:coreProperties>
</file>